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405DD">
      <w:pPr>
        <w:pStyle w:val="8"/>
        <w:jc w:val="center"/>
      </w:pPr>
      <w:r>
        <w:rPr>
          <w:rFonts w:hint="eastAsia" w:eastAsia="宋体"/>
          <w:lang w:val="en-US" w:eastAsia="zh-CN"/>
        </w:rPr>
        <w:t>Claude*CCSwitch</w:t>
      </w:r>
      <w:r>
        <w:t xml:space="preserve"> API Key 接入手册</w:t>
      </w:r>
    </w:p>
    <w:p w14:paraId="1D27EF8C">
      <w:pPr>
        <w:pStyle w:val="2"/>
        <w:widowControl/>
        <w:spacing w:after="0" w:line="276" w:lineRule="auto"/>
        <w:jc w:val="left"/>
        <w:rPr>
          <w:rFonts w:asciiTheme="majorHAnsi" w:hAnsiTheme="majorHAnsi" w:eastAsiaTheme="majorEastAsia" w:cstheme="majorBidi"/>
          <w:bCs/>
          <w:color w:val="2F5597" w:themeColor="accent1" w:themeShade="BF"/>
          <w:sz w:val="28"/>
          <w:szCs w:val="28"/>
        </w:rPr>
      </w:pPr>
      <w:r>
        <w:rPr>
          <w:rFonts w:asciiTheme="majorHAnsi" w:hAnsiTheme="majorHAnsi" w:eastAsiaTheme="majorEastAsia" w:cstheme="majorBidi"/>
          <w:bCs/>
          <w:color w:val="2F5597" w:themeColor="accent1" w:themeShade="BF"/>
          <w:sz w:val="28"/>
          <w:szCs w:val="28"/>
        </w:rPr>
        <w:t>一、</w:t>
      </w: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  <w:t>获得</w:t>
      </w:r>
      <w:r>
        <w:rPr>
          <w:rFonts w:asciiTheme="majorHAnsi" w:hAnsiTheme="majorHAnsi" w:eastAsiaTheme="majorEastAsia" w:cstheme="majorBidi"/>
          <w:bCs/>
          <w:color w:val="2F5597" w:themeColor="accent1" w:themeShade="BF"/>
          <w:sz w:val="28"/>
          <w:szCs w:val="28"/>
        </w:rPr>
        <w:t>API Key</w:t>
      </w:r>
    </w:p>
    <w:p w14:paraId="71C13109">
      <w:pPr>
        <w:pStyle w:val="3"/>
        <w:widowControl/>
        <w:spacing w:before="200" w:after="0" w:line="276" w:lineRule="auto"/>
        <w:jc w:val="left"/>
        <w:rPr>
          <w:rFonts w:hint="default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  <w14:textFill>
            <w14:solidFill>
              <w14:schemeClr w14:val="accent1"/>
            </w14:solidFill>
          </w14:textFill>
        </w:rPr>
        <w:t>1. 注册星枢</w:t>
      </w:r>
    </w:p>
    <w:p w14:paraId="791C6A4D">
      <w:pPr>
        <w:jc w:val="center"/>
        <w:rPr>
          <w:b w:val="0"/>
        </w:rPr>
      </w:pPr>
      <w:r>
        <w:drawing>
          <wp:inline distT="0" distB="0" distL="114300" distR="114300">
            <wp:extent cx="5476240" cy="3041650"/>
            <wp:effectExtent l="0" t="0" r="10160" b="635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FAC08">
      <w:pPr>
        <w:widowControl/>
        <w:spacing w:after="200" w:line="276" w:lineRule="auto"/>
        <w:jc w:val="left"/>
        <w:rPr>
          <w:rFonts w:hint="eastAsia" w:eastAsia="宋体" w:asciiTheme="minorHAnsi"/>
          <w:b w:val="0"/>
          <w:lang w:val="en-US" w:eastAsia="zh-CN"/>
        </w:rPr>
      </w:pPr>
      <w:r>
        <w:rPr>
          <w:rFonts w:hint="eastAsia" w:eastAsia="宋体" w:asciiTheme="minorHAnsi"/>
          <w:b w:val="0"/>
          <w:lang w:val="en-US" w:eastAsia="zh-CN"/>
        </w:rPr>
        <w:t>等待审核通过后，即可登陆。</w:t>
      </w:r>
    </w:p>
    <w:p w14:paraId="3766B866">
      <w:pPr>
        <w:pStyle w:val="3"/>
        <w:widowControl/>
        <w:spacing w:before="200" w:after="0" w:line="276" w:lineRule="auto"/>
        <w:jc w:val="left"/>
        <w:rPr>
          <w:rFonts w:hint="default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  <w14:textFill>
            <w14:solidFill>
              <w14:schemeClr w14:val="accent1"/>
            </w14:solidFill>
          </w14:textFill>
        </w:rPr>
        <w:t>2. 新增key</w:t>
      </w:r>
    </w:p>
    <w:p w14:paraId="0A18E779">
      <w:pPr>
        <w:jc w:val="center"/>
        <w:rPr>
          <w:rFonts w:hint="default" w:eastAsia="宋体"/>
          <w:b w:val="0"/>
          <w:lang w:val="en-US" w:eastAsia="zh-CN"/>
        </w:rPr>
      </w:pPr>
      <w:r>
        <w:drawing>
          <wp:inline distT="0" distB="0" distL="114300" distR="114300">
            <wp:extent cx="5476240" cy="3041650"/>
            <wp:effectExtent l="0" t="0" r="10160" b="635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5C8FD">
      <w:pPr>
        <w:widowControl/>
        <w:spacing w:after="200" w:line="276" w:lineRule="auto"/>
        <w:jc w:val="left"/>
        <w:rPr>
          <w:rFonts w:hint="default" w:eastAsia="宋体" w:asciiTheme="minorHAnsi"/>
          <w:b w:val="0"/>
          <w:lang w:val="en-US" w:eastAsia="zh-CN"/>
        </w:rPr>
      </w:pPr>
      <w:r>
        <w:rPr>
          <w:rFonts w:hint="eastAsia" w:eastAsia="宋体" w:asciiTheme="minorHAnsi"/>
          <w:b w:val="0"/>
          <w:lang w:val="en-US" w:eastAsia="zh-CN"/>
        </w:rPr>
        <w:t>按使用用途/应用/人员填写名称。点击复制可将api key复制到粘贴板。</w:t>
      </w:r>
    </w:p>
    <w:p w14:paraId="3C899204">
      <w:pPr>
        <w:pStyle w:val="3"/>
        <w:widowControl/>
        <w:spacing w:before="200" w:after="0" w:line="276" w:lineRule="auto"/>
        <w:jc w:val="left"/>
        <w:rPr>
          <w:rFonts w:hint="default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eastAsia="宋体" w:asciiTheme="majorHAnsi" w:hAnsiTheme="majorHAnsi" w:cstheme="majorBidi"/>
          <w:bCs/>
          <w:color w:val="4472C4" w:themeColor="accent1"/>
          <w:sz w:val="26"/>
          <w:szCs w:val="26"/>
          <w:lang w:val="en-US" w:eastAsia="zh-CN"/>
          <w14:textFill>
            <w14:solidFill>
              <w14:schemeClr w14:val="accent1"/>
            </w14:solidFill>
          </w14:textFill>
        </w:rPr>
        <w:t>3. 增加配额</w:t>
      </w:r>
    </w:p>
    <w:p w14:paraId="40A2BE10">
      <w:pPr>
        <w:jc w:val="center"/>
      </w:pPr>
      <w:r>
        <w:drawing>
          <wp:inline distT="0" distB="0" distL="114300" distR="114300">
            <wp:extent cx="5476240" cy="3041650"/>
            <wp:effectExtent l="0" t="0" r="10160" b="635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43CB6">
      <w:pPr>
        <w:jc w:val="center"/>
      </w:pPr>
      <w:r>
        <w:drawing>
          <wp:inline distT="0" distB="0" distL="114300" distR="114300">
            <wp:extent cx="5476240" cy="3041650"/>
            <wp:effectExtent l="0" t="0" r="10160" b="635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04131">
      <w:pPr>
        <w:widowControl/>
        <w:spacing w:after="200" w:line="276" w:lineRule="auto"/>
        <w:jc w:val="left"/>
        <w:rPr>
          <w:rFonts w:hint="eastAsia" w:eastAsia="宋体" w:asciiTheme="minorHAnsi"/>
          <w:b w:val="0"/>
          <w:lang w:val="en-US" w:eastAsia="zh-CN"/>
        </w:rPr>
      </w:pPr>
      <w:r>
        <w:rPr>
          <w:rFonts w:hint="eastAsia" w:eastAsia="宋体" w:asciiTheme="minorHAnsi"/>
          <w:b w:val="0"/>
          <w:lang w:val="en-US" w:eastAsia="zh-CN"/>
        </w:rPr>
        <w:t>新增配额项</w:t>
      </w:r>
      <w:bookmarkStart w:id="0" w:name="_GoBack"/>
      <w:bookmarkEnd w:id="0"/>
      <w:r>
        <w:rPr>
          <w:rFonts w:hint="eastAsia" w:eastAsia="宋体" w:asciiTheme="minorHAnsi"/>
          <w:b w:val="0"/>
          <w:lang w:val="en-US" w:eastAsia="zh-CN"/>
        </w:rPr>
        <w:t>目、给项目增加配额。可按线上、线下两种方式增加配额，线上充值支付完成后即可正常使用api key，线下充值联系客服完成审核后即可正常使用。</w:t>
      </w:r>
    </w:p>
    <w:p w14:paraId="03A2E810">
      <w:pPr>
        <w:pStyle w:val="2"/>
        <w:widowControl/>
        <w:spacing w:after="0" w:line="276" w:lineRule="auto"/>
        <w:jc w:val="left"/>
        <w:rPr>
          <w:rFonts w:hint="eastAsia" w:eastAsia="宋体" w:asciiTheme="minorHAnsi"/>
          <w:b w:val="0"/>
          <w:lang w:val="en-US" w:eastAsia="zh-CN"/>
        </w:rPr>
      </w:pPr>
      <w:r>
        <w:rPr>
          <w:rFonts w:asciiTheme="majorHAnsi" w:hAnsiTheme="majorHAnsi" w:eastAsiaTheme="majorEastAsia" w:cstheme="majorBidi"/>
          <w:bCs/>
          <w:color w:val="2F5597" w:themeColor="accent1" w:themeShade="BF"/>
          <w:sz w:val="28"/>
          <w:szCs w:val="28"/>
        </w:rPr>
        <w:t xml:space="preserve">二、在 </w:t>
      </w:r>
      <w:r>
        <w:rPr>
          <w:rFonts w:hint="eastAsia" w:eastAsia="宋体" w:asciiTheme="majorHAnsi" w:hAnsiTheme="majorHAnsi" w:cstheme="majorBidi"/>
          <w:bCs/>
          <w:color w:val="2F5597" w:themeColor="accent1" w:themeShade="BF"/>
          <w:sz w:val="28"/>
          <w:szCs w:val="28"/>
          <w:lang w:val="en-US" w:eastAsia="zh-CN"/>
        </w:rPr>
        <w:t>CCSwitch</w:t>
      </w:r>
      <w:r>
        <w:rPr>
          <w:rFonts w:asciiTheme="majorHAnsi" w:hAnsiTheme="majorHAnsi" w:eastAsiaTheme="majorEastAsia" w:cstheme="majorBidi"/>
          <w:bCs/>
          <w:color w:val="2F5597" w:themeColor="accent1" w:themeShade="BF"/>
          <w:sz w:val="28"/>
          <w:szCs w:val="28"/>
        </w:rPr>
        <w:t>中配置自定义模型</w:t>
      </w:r>
    </w:p>
    <w:p w14:paraId="61C87282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</w:pPr>
      <w:r>
        <w:rPr>
          <w:rFonts w:asciiTheme="majorHAnsi" w:hAnsiTheme="majorHAnsi" w:eastAsiaTheme="majorEastAsia" w:cstheme="majorBidi"/>
          <w:bCs/>
          <w:color w:val="2F5597" w:themeColor="accent1" w:themeShade="BF"/>
          <w:sz w:val="28"/>
          <w:szCs w:val="28"/>
        </w:rPr>
        <w:t xml:space="preserve">步骤一：切换到 </w:t>
      </w: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</w:rPr>
        <w:t>Claude</w:t>
      </w: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  <w:t>页签</w:t>
      </w:r>
    </w:p>
    <w:p w14:paraId="5CEA6E44">
      <w:r>
        <w:rPr>
          <w:rFonts w:hint="eastAsia" w:eastAsia="宋体"/>
          <w:lang w:val="en-US" w:eastAsia="zh-CN"/>
        </w:rPr>
        <w:t>下载、</w:t>
      </w:r>
      <w:r>
        <w:t xml:space="preserve">打开 CCSwitch 后，在顶部图标栏点击 </w:t>
      </w:r>
      <w:r>
        <w:rPr>
          <w:rFonts w:hint="eastAsia"/>
          <w:b/>
        </w:rPr>
        <w:t>Claude</w:t>
      </w:r>
      <w:r>
        <w:rPr>
          <w:b/>
        </w:rPr>
        <w:t xml:space="preserve"> 图标</w:t>
      </w:r>
      <w:r>
        <w:t>，进入 Codex 路由配置页。</w:t>
      </w:r>
    </w:p>
    <w:p w14:paraId="17565E2C">
      <w:r>
        <w:drawing>
          <wp:inline distT="0" distB="0" distL="114300" distR="114300">
            <wp:extent cx="5481320" cy="4364990"/>
            <wp:effectExtent l="0" t="0" r="5080" b="889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3E62B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  <w:t>步骤二：进入设置</w:t>
      </w:r>
    </w:p>
    <w:p w14:paraId="6EF4983C">
      <w:r>
        <w:t xml:space="preserve">点击左上角的 </w:t>
      </w:r>
      <w:r>
        <w:rPr>
          <w:b/>
        </w:rPr>
        <w:t>设置（齿轮）图标</w:t>
      </w:r>
      <w:r>
        <w:t>，打开设置面板。</w:t>
      </w:r>
    </w:p>
    <w:p w14:paraId="7CED7905">
      <w:r>
        <w:drawing>
          <wp:inline distT="0" distB="0" distL="114300" distR="114300">
            <wp:extent cx="5481320" cy="4364990"/>
            <wp:effectExtent l="0" t="0" r="5080" b="889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59CA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  <w:t>步骤三：开启本地路由</w:t>
      </w:r>
    </w:p>
    <w:p w14:paraId="0D46C62C">
      <w:r>
        <w:t xml:space="preserve">在设置面板中选择 </w:t>
      </w:r>
      <w:r>
        <w:rPr>
          <w:b/>
        </w:rPr>
        <w:t>「路由」</w:t>
      </w:r>
      <w:r>
        <w:t xml:space="preserve"> 页签，按以下顺序开启路由功能：</w:t>
      </w:r>
    </w:p>
    <w:p w14:paraId="4B6D8FBC">
      <w:pPr>
        <w:numPr>
          <w:ilvl w:val="0"/>
          <w:numId w:val="1"/>
        </w:numPr>
      </w:pPr>
      <w:r>
        <w:t xml:space="preserve">打开 </w:t>
      </w:r>
      <w:r>
        <w:rPr>
          <w:b/>
        </w:rPr>
        <w:t>「在主页面显示本地路由开关」</w:t>
      </w:r>
    </w:p>
    <w:p w14:paraId="505E9489">
      <w:pPr>
        <w:numPr>
          <w:ilvl w:val="0"/>
          <w:numId w:val="1"/>
        </w:numPr>
      </w:pPr>
      <w:r>
        <w:t xml:space="preserve">打开 </w:t>
      </w:r>
      <w:r>
        <w:rPr>
          <w:b/>
        </w:rPr>
        <w:t>「路由总开关」</w:t>
      </w:r>
    </w:p>
    <w:p w14:paraId="7A95DB30">
      <w:pPr>
        <w:numPr>
          <w:ilvl w:val="0"/>
          <w:numId w:val="1"/>
        </w:numPr>
      </w:pPr>
      <w:r>
        <w:t xml:space="preserve">在「路由启用」区域，打开 </w:t>
      </w:r>
      <w:r>
        <w:rPr>
          <w:rFonts w:hint="eastAsia"/>
          <w:b/>
        </w:rPr>
        <w:t>Claude</w:t>
      </w:r>
      <w:r>
        <w:t xml:space="preserve"> 开关</w:t>
      </w:r>
    </w:p>
    <w:p w14:paraId="12B6C2BB">
      <w:r>
        <w:t xml:space="preserve">确认「本地路由」状态显示为 </w:t>
      </w:r>
      <w:r>
        <w:rPr>
          <w:b/>
        </w:rPr>
        <w:t>运行中</w:t>
      </w:r>
      <w:r>
        <w:t>。</w:t>
      </w:r>
    </w:p>
    <w:p w14:paraId="253668EE">
      <w:r>
        <w:drawing>
          <wp:inline distT="0" distB="0" distL="0" distR="0">
            <wp:extent cx="5486400" cy="3652520"/>
            <wp:effectExtent l="0" t="0" r="0" b="0"/>
            <wp:docPr id="3" name="image-xdHrWf5SBo7_nVYIluos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xdHrWf5SBo7_nVYIluosS.pn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A7C9A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  <w:t>步骤四：新增供应商</w:t>
      </w:r>
    </w:p>
    <w:p w14:paraId="4F090025">
      <w:r>
        <w:t xml:space="preserve">返回 CCSwitch 主界面，确认顶部路由开关为 </w:t>
      </w:r>
      <w:r>
        <w:rPr>
          <w:b/>
        </w:rPr>
        <w:t>开启（绿色）</w:t>
      </w:r>
      <w:r>
        <w:t xml:space="preserve"> 状态，然后点击右上角 </w:t>
      </w:r>
      <w:r>
        <w:rPr>
          <w:b/>
        </w:rPr>
        <w:t>「+」</w:t>
      </w:r>
      <w:r>
        <w:t xml:space="preserve"> 按钮，新增供应商。</w:t>
      </w:r>
    </w:p>
    <w:p w14:paraId="1CBFC17F">
      <w:r>
        <w:drawing>
          <wp:inline distT="0" distB="0" distL="114300" distR="114300">
            <wp:extent cx="5481320" cy="4364990"/>
            <wp:effectExtent l="0" t="0" r="5080" b="889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54563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  <w:t>步骤五：添加新的供应商</w:t>
      </w:r>
    </w:p>
    <w:p w14:paraId="0CE508B5">
      <w:r>
        <w:t xml:space="preserve">在「添加新供应商」页面中，选择 </w:t>
      </w:r>
      <w:r>
        <w:rPr>
          <w:b/>
        </w:rPr>
        <w:t>「自定义配置」</w:t>
      </w:r>
      <w:r>
        <w:t>。</w:t>
      </w:r>
    </w:p>
    <w:p w14:paraId="2BF67CD8">
      <w:r>
        <w:drawing>
          <wp:inline distT="0" distB="0" distL="114300" distR="114300">
            <wp:extent cx="5481320" cy="4364990"/>
            <wp:effectExtent l="0" t="0" r="5080" b="889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0C5FF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  <w:t>步骤六：填写供应商信息</w:t>
      </w:r>
    </w:p>
    <w:p w14:paraId="1FF13933">
      <w:r>
        <w:t>在「编辑供应商」页面中，按要求填写以下字段：</w:t>
      </w:r>
    </w:p>
    <w:tbl>
      <w:tblPr>
        <w:tblStyle w:val="9"/>
        <w:tblW w:w="0" w:type="auto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80" w:type="dxa"/>
          <w:left w:w="160" w:type="dxa"/>
          <w:bottom w:w="80" w:type="dxa"/>
          <w:right w:w="160" w:type="dxa"/>
        </w:tblCellMar>
      </w:tblPr>
      <w:tblGrid>
        <w:gridCol w:w="1615"/>
        <w:gridCol w:w="5440"/>
      </w:tblGrid>
      <w:tr w14:paraId="4763F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C001B1">
            <w:r>
              <w:t>字段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FACC89">
            <w:r>
              <w:t>填写说明</w:t>
            </w:r>
          </w:p>
        </w:tc>
      </w:tr>
      <w:tr w14:paraId="227A0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0A6A26">
            <w:r>
              <w:t>供应商名称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B2A60D">
            <w:r>
              <w:t>自定义名称，例如</w:t>
            </w:r>
            <w:r>
              <w:rPr>
                <w:rFonts w:hint="eastAsia" w:eastAsia="宋体"/>
                <w:lang w:eastAsia="zh-CN"/>
              </w:rPr>
              <w:t>：</w:t>
            </w:r>
            <w:r>
              <w:t>星枢</w:t>
            </w:r>
          </w:p>
        </w:tc>
      </w:tr>
      <w:tr w14:paraId="5379E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8FE10C">
            <w:r>
              <w:t>API Key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3D9FE3">
            <w:r>
              <w:t>从星枢平台获取的 API Key</w:t>
            </w:r>
          </w:p>
        </w:tc>
      </w:tr>
      <w:tr w14:paraId="5EBEA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cantSplit/>
          <w:tblCellSpacing w:w="0" w:type="dxa"/>
          <w:jc w:val="center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5F75F8">
            <w:r>
              <w:t>API 请求地址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8C0834">
            <w:r>
              <w:rPr>
                <w:rFonts w:hint="eastAsia"/>
              </w:rPr>
              <w:t>https://token.soar.qjclouds.cn/laserStreamEr/00000000/v1</w:t>
            </w:r>
          </w:p>
        </w:tc>
      </w:tr>
    </w:tbl>
    <w:p w14:paraId="34FC9260"/>
    <w:p w14:paraId="622D0AAC">
      <w:r>
        <w:drawing>
          <wp:inline distT="0" distB="0" distL="0" distR="0">
            <wp:extent cx="5486400" cy="3652520"/>
            <wp:effectExtent l="0" t="0" r="0" b="0"/>
            <wp:docPr id="6" name="image-2cEonlgjnC8SUt4EG_8n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2cEonlgjnC8SUt4EG_8nt.pn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3BC11">
      <w:pPr>
        <w:pStyle w:val="3"/>
        <w:widowControl/>
        <w:spacing w:before="200" w:after="0" w:line="276" w:lineRule="auto"/>
        <w:jc w:val="left"/>
        <w:rPr>
          <w:rFonts w:hint="default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  <w:t>步骤七：模型映射</w:t>
      </w:r>
    </w:p>
    <w:p w14:paraId="2DB03AD7">
      <w:r>
        <w:rPr>
          <w:rFonts w:hint="eastAsia"/>
        </w:rPr>
        <w:t>填写完基础信息后，下滑页面，点击打开[需要模型映射]</w:t>
      </w:r>
      <w:r>
        <w:t>。</w:t>
      </w:r>
    </w:p>
    <w:p w14:paraId="60FC1573">
      <w:r>
        <w:drawing>
          <wp:inline distT="0" distB="0" distL="114300" distR="114300">
            <wp:extent cx="5481320" cy="4359910"/>
            <wp:effectExtent l="0" t="0" r="5080" b="1397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43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81CD1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  <w:t>步骤八：更改API格式</w:t>
      </w:r>
    </w:p>
    <w:p w14:paraId="2313D479">
      <w:pPr>
        <w:numPr>
          <w:ilvl w:val="0"/>
          <w:numId w:val="0"/>
        </w:numPr>
      </w:pPr>
      <w:r>
        <w:rPr>
          <w:rFonts w:hint="eastAsia"/>
        </w:rPr>
        <w:t>把API格式切换成OpenAI Chat Completions (需开启路由)</w:t>
      </w:r>
    </w:p>
    <w:p w14:paraId="680634E2">
      <w:r>
        <w:drawing>
          <wp:inline distT="0" distB="0" distL="114300" distR="114300">
            <wp:extent cx="5481320" cy="4359910"/>
            <wp:effectExtent l="0" t="0" r="5080" b="1397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43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8E29D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  <w:t>步骤九：配置模型映射</w:t>
      </w:r>
    </w:p>
    <w:p w14:paraId="38965698">
      <w:r>
        <w:t xml:space="preserve">继续在「模型映射」区域，点击 </w:t>
      </w:r>
      <w:r>
        <w:rPr>
          <w:b/>
        </w:rPr>
        <w:t>「+ 添加模型」</w:t>
      </w:r>
      <w:r>
        <w:t>，按需添加星枢官网已上架的模型。配置规则如下：</w:t>
      </w:r>
    </w:p>
    <w:p w14:paraId="266E41FB">
      <w:pPr>
        <w:numPr>
          <w:ilvl w:val="0"/>
          <w:numId w:val="2"/>
        </w:numPr>
      </w:pPr>
      <w:r>
        <w:rPr>
          <w:b/>
        </w:rPr>
        <w:t>菜单显示名</w:t>
      </w:r>
      <w:r>
        <w:t>：Codex 前端展示的名称，可自定义</w:t>
      </w:r>
    </w:p>
    <w:p w14:paraId="3DFD5B50">
      <w:pPr>
        <w:numPr>
          <w:ilvl w:val="0"/>
          <w:numId w:val="2"/>
        </w:numPr>
      </w:pPr>
      <w:r>
        <w:rPr>
          <w:b/>
        </w:rPr>
        <w:t>实际请求模型</w:t>
      </w:r>
      <w:r>
        <w:t>：根据星枢官网模型名填写</w:t>
      </w:r>
    </w:p>
    <w:p w14:paraId="26894BE4">
      <w:pPr>
        <w:numPr>
          <w:ilvl w:val="0"/>
          <w:numId w:val="2"/>
        </w:numPr>
      </w:pPr>
      <w:r>
        <w:rPr>
          <w:b/>
        </w:rPr>
        <w:t>上下文窗口</w:t>
      </w:r>
      <w:r>
        <w:t>：按模型实际配置填写</w:t>
      </w:r>
    </w:p>
    <w:p w14:paraId="5EB45D87">
      <w:pPr>
        <w:ind w:left="284"/>
        <w:jc w:val="both"/>
        <w:rPr>
          <w:rFonts w:hint="eastAsia" w:eastAsia="宋体"/>
          <w:lang w:val="en-US" w:eastAsia="zh-CN"/>
        </w:rPr>
      </w:pPr>
      <w:r>
        <w:t>示例模型：qwen-plus、kimi-k3、deepseek-v4-flash、qwen3.7-max、qwen3.8-max、openai/gpt-5.6-luna、openai/gpt-5.6-terra、openai/gpt-5.6-sol、glm-5.2、anthropic/claude-table-5</w:t>
      </w:r>
      <w:r>
        <w:rPr>
          <w:rFonts w:hint="eastAsia" w:eastAsia="宋体"/>
          <w:lang w:val="en-US" w:eastAsia="zh-CN"/>
        </w:rPr>
        <w:t>等，更多模型详见星枢官网</w:t>
      </w:r>
    </w:p>
    <w:p w14:paraId="0EA2C0C2">
      <w:pPr>
        <w:ind w:left="284"/>
        <w:jc w:val="both"/>
        <w:rPr>
          <w:rFonts w:hint="eastAsia" w:eastAsia="宋体"/>
          <w:lang w:val="en-US" w:eastAsia="zh-CN"/>
        </w:rPr>
      </w:pPr>
    </w:p>
    <w:p w14:paraId="1005B629">
      <w:r>
        <w:t>确认所有信息填写无误后，点击右下角 「保存」 按钮。</w:t>
      </w:r>
    </w:p>
    <w:p w14:paraId="6B945DF9">
      <w:r>
        <w:t>修改模型映射后，需要重启 C</w:t>
      </w:r>
      <w:r>
        <w:rPr>
          <w:rFonts w:hint="eastAsia" w:eastAsia="宋体"/>
          <w:lang w:val="en-US" w:eastAsia="zh-CN"/>
        </w:rPr>
        <w:t>laude</w:t>
      </w:r>
      <w:r>
        <w:t xml:space="preserve"> 才能刷新模型列表。</w:t>
      </w:r>
    </w:p>
    <w:p w14:paraId="69293A1E">
      <w:pPr>
        <w:ind w:left="284"/>
        <w:jc w:val="both"/>
        <w:rPr>
          <w:rFonts w:hint="default" w:eastAsia="宋体"/>
          <w:lang w:val="en-US" w:eastAsia="zh-CN"/>
        </w:rPr>
      </w:pPr>
    </w:p>
    <w:p w14:paraId="1281E926"/>
    <w:p w14:paraId="0D8F5D11">
      <w:pPr>
        <w:pStyle w:val="3"/>
        <w:widowControl/>
        <w:spacing w:before="200" w:after="0" w:line="276" w:lineRule="auto"/>
        <w:jc w:val="left"/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</w:pPr>
      <w:r>
        <w:rPr>
          <w:rFonts w:hint="eastAsia" w:asciiTheme="majorHAnsi" w:hAnsiTheme="majorHAnsi" w:eastAsiaTheme="majorEastAsia" w:cstheme="majorBidi"/>
          <w:bCs/>
          <w:color w:val="2F5597" w:themeColor="accent1" w:themeShade="BF"/>
          <w:sz w:val="28"/>
          <w:szCs w:val="28"/>
          <w:lang w:val="en-US" w:eastAsia="zh-CN"/>
        </w:rPr>
        <w:t>步骤十：检查使用状态</w:t>
      </w:r>
    </w:p>
    <w:p w14:paraId="1E74354B">
      <w:r>
        <w:t>返回 CCSwitch 主界面，确认：</w:t>
      </w:r>
    </w:p>
    <w:p w14:paraId="58F51224">
      <w:pPr>
        <w:numPr>
          <w:ilvl w:val="0"/>
          <w:numId w:val="3"/>
        </w:numPr>
      </w:pPr>
      <w:r>
        <w:t xml:space="preserve">顶部本地路由开关保持 </w:t>
      </w:r>
      <w:r>
        <w:rPr>
          <w:b/>
        </w:rPr>
        <w:t>开启</w:t>
      </w:r>
    </w:p>
    <w:p w14:paraId="4ABF515D">
      <w:pPr>
        <w:numPr>
          <w:ilvl w:val="0"/>
          <w:numId w:val="3"/>
        </w:numPr>
      </w:pPr>
      <w:r>
        <w:t xml:space="preserve">刚添加的星枢供应商显示 </w:t>
      </w:r>
      <w:r>
        <w:rPr>
          <w:b/>
        </w:rPr>
        <w:t>「使用中」</w:t>
      </w:r>
    </w:p>
    <w:p w14:paraId="463B1E81">
      <w:r>
        <w:drawing>
          <wp:inline distT="0" distB="0" distL="114300" distR="114300">
            <wp:extent cx="5483860" cy="4504055"/>
            <wp:effectExtent l="0" t="0" r="2540" b="698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450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F995D">
      <w:pPr>
        <w:pStyle w:val="2"/>
        <w:widowControl/>
        <w:spacing w:after="0" w:line="276" w:lineRule="auto"/>
        <w:jc w:val="left"/>
        <w:rPr>
          <w:rFonts w:hint="default" w:eastAsia="宋体"/>
          <w:lang w:val="en-US" w:eastAsia="zh-CN"/>
        </w:rPr>
      </w:pPr>
      <w:r>
        <w:rPr>
          <w:rFonts w:hint="eastAsia" w:eastAsia="宋体" w:asciiTheme="majorHAnsi" w:hAnsiTheme="majorHAnsi" w:cstheme="majorBidi"/>
          <w:bCs/>
          <w:color w:val="2F5597" w:themeColor="accent1" w:themeShade="BF"/>
          <w:sz w:val="28"/>
          <w:szCs w:val="28"/>
          <w:lang w:val="en-US" w:eastAsia="zh-CN"/>
        </w:rPr>
        <w:t>三</w:t>
      </w:r>
      <w:r>
        <w:rPr>
          <w:rFonts w:asciiTheme="majorHAnsi" w:hAnsiTheme="majorHAnsi" w:eastAsiaTheme="majorEastAsia" w:cstheme="majorBidi"/>
          <w:bCs/>
          <w:color w:val="2F5597" w:themeColor="accent1" w:themeShade="BF"/>
          <w:sz w:val="28"/>
          <w:szCs w:val="28"/>
        </w:rPr>
        <w:t xml:space="preserve">、在 </w:t>
      </w:r>
      <w:r>
        <w:rPr>
          <w:rFonts w:hint="eastAsia" w:eastAsia="宋体" w:asciiTheme="majorHAnsi" w:hAnsiTheme="majorHAnsi" w:cstheme="majorBidi"/>
          <w:bCs/>
          <w:color w:val="2F5597" w:themeColor="accent1" w:themeShade="BF"/>
          <w:sz w:val="28"/>
          <w:szCs w:val="28"/>
          <w:lang w:val="en-US" w:eastAsia="zh-CN"/>
        </w:rPr>
        <w:t>Claude</w:t>
      </w:r>
      <w:r>
        <w:rPr>
          <w:rFonts w:asciiTheme="majorHAnsi" w:hAnsiTheme="majorHAnsi" w:eastAsiaTheme="majorEastAsia" w:cstheme="majorBidi"/>
          <w:bCs/>
          <w:color w:val="2F5597" w:themeColor="accent1" w:themeShade="BF"/>
          <w:sz w:val="28"/>
          <w:szCs w:val="28"/>
        </w:rPr>
        <w:t>中</w:t>
      </w:r>
      <w:r>
        <w:rPr>
          <w:rFonts w:hint="eastAsia" w:eastAsia="宋体" w:asciiTheme="majorHAnsi" w:hAnsiTheme="majorHAnsi" w:cstheme="majorBidi"/>
          <w:bCs/>
          <w:color w:val="2F5597" w:themeColor="accent1" w:themeShade="BF"/>
          <w:sz w:val="28"/>
          <w:szCs w:val="28"/>
          <w:lang w:val="en-US" w:eastAsia="zh-CN"/>
        </w:rPr>
        <w:t>切换模型</w:t>
      </w:r>
    </w:p>
    <w:p w14:paraId="5279A566"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下载、</w:t>
      </w:r>
      <w:r>
        <w:t>打开 C</w:t>
      </w:r>
      <w:r>
        <w:rPr>
          <w:rFonts w:hint="eastAsia" w:eastAsia="宋体"/>
          <w:lang w:val="en-US" w:eastAsia="zh-CN"/>
        </w:rPr>
        <w:t>laude</w:t>
      </w:r>
      <w:r>
        <w:t xml:space="preserve"> 后，</w:t>
      </w:r>
      <w:r>
        <w:rPr>
          <w:rFonts w:hint="eastAsia" w:eastAsia="宋体"/>
          <w:lang w:val="en-US" w:eastAsia="zh-CN"/>
        </w:rPr>
        <w:t>在如图位置Help&gt;Troubleshooting &gt;Enable Developer Mode 打开开发者模式；</w:t>
      </w:r>
    </w:p>
    <w:p w14:paraId="7B8CE0B2"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再调出Developer&gt;Configure Third-Party Inference 配置第三方</w:t>
      </w:r>
    </w:p>
    <w:p w14:paraId="2F1EAD4F">
      <w:p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476875" cy="3653790"/>
            <wp:effectExtent l="0" t="0" r="9525" b="381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6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FE4DC"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Test connection结果为绿后，保存更改内容即可。</w:t>
      </w:r>
    </w:p>
    <w:p w14:paraId="2837DA6F">
      <w:p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059045" cy="4059555"/>
            <wp:effectExtent l="0" t="0" r="635" b="9525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59045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87054"/>
    <w:p w14:paraId="1CEA4FDD">
      <w:r>
        <w:t xml:space="preserve">在右下角点击 </w:t>
      </w:r>
      <w:r>
        <w:rPr>
          <w:b/>
        </w:rPr>
        <w:t>Model</w:t>
      </w:r>
      <w:r>
        <w:t xml:space="preserve"> 区域，即可选择并切换已配置的星枢模型。</w:t>
      </w:r>
    </w:p>
    <w:p w14:paraId="340CF360">
      <w:r>
        <w:drawing>
          <wp:inline distT="0" distB="0" distL="114300" distR="114300">
            <wp:extent cx="5483860" cy="3700145"/>
            <wp:effectExtent l="0" t="0" r="2540" b="3175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291FF"/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cumentProtection w:enforcement="0"/>
  <w:defaultTabStop w:val="72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05488"/>
    <w:rsid w:val="0B661573"/>
    <w:rsid w:val="258137B4"/>
    <w:rsid w:val="2C1857F1"/>
    <w:rsid w:val="2CC978A5"/>
    <w:rsid w:val="32C9171E"/>
    <w:rsid w:val="39A560DF"/>
    <w:rsid w:val="41AF7ECF"/>
    <w:rsid w:val="6EA320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 w:line="240" w:lineRule="atLeast"/>
      <w:outlineLvl w:val="0"/>
    </w:pPr>
    <w:rPr>
      <w:rFonts w:ascii="Times New Roman" w:hAnsiTheme="minorHAnsi" w:eastAsiaTheme="minorHAnsi" w:cstheme="minorBidi"/>
      <w:b/>
      <w:sz w:val="48"/>
      <w:szCs w:val="48"/>
      <w:lang w:val="en-US" w:eastAsia="en-US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80" w:line="240" w:lineRule="atLeast"/>
      <w:outlineLvl w:val="1"/>
    </w:pPr>
    <w:rPr>
      <w:rFonts w:ascii="Times New Roman" w:hAnsiTheme="minorHAnsi" w:eastAsiaTheme="minorHAnsi" w:cstheme="minorBidi"/>
      <w:b/>
      <w:sz w:val="36"/>
      <w:szCs w:val="36"/>
      <w:lang w:val="en-US" w:eastAsia="en-US" w:bidi="ar-SA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before="280" w:after="80" w:line="240" w:lineRule="atLeast"/>
      <w:outlineLvl w:val="2"/>
    </w:pPr>
    <w:rPr>
      <w:rFonts w:ascii="Times New Roman" w:hAnsiTheme="minorHAnsi" w:eastAsiaTheme="minorHAnsi" w:cstheme="minorBidi"/>
      <w:b/>
      <w:sz w:val="28"/>
      <w:szCs w:val="28"/>
      <w:lang w:val="en-US" w:eastAsia="en-US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before="240" w:after="40" w:line="240" w:lineRule="atLeast"/>
      <w:outlineLvl w:val="3"/>
    </w:pPr>
    <w:rPr>
      <w:rFonts w:ascii="Times New Roman" w:hAnsiTheme="minorHAnsi" w:eastAsiaTheme="minorHAnsi" w:cstheme="minorBidi"/>
      <w:b/>
      <w:sz w:val="24"/>
      <w:szCs w:val="24"/>
      <w:lang w:val="en-US" w:eastAsia="en-US" w:bidi="ar-SA"/>
    </w:rPr>
  </w:style>
  <w:style w:type="paragraph" w:styleId="6">
    <w:name w:val="heading 5"/>
    <w:next w:val="1"/>
    <w:semiHidden/>
    <w:unhideWhenUsed/>
    <w:qFormat/>
    <w:uiPriority w:val="9"/>
    <w:pPr>
      <w:keepNext/>
      <w:keepLines/>
      <w:spacing w:before="220" w:after="40" w:line="240" w:lineRule="atLeast"/>
      <w:outlineLvl w:val="4"/>
    </w:pPr>
    <w:rPr>
      <w:rFonts w:ascii="Times New Roman" w:hAnsiTheme="minorHAnsi" w:eastAsiaTheme="minorHAnsi" w:cstheme="minorBidi"/>
      <w:b/>
      <w:sz w:val="22"/>
      <w:szCs w:val="22"/>
      <w:lang w:val="en-US" w:eastAsia="en-US" w:bidi="ar-SA"/>
    </w:rPr>
  </w:style>
  <w:style w:type="paragraph" w:styleId="7">
    <w:name w:val="heading 6"/>
    <w:next w:val="1"/>
    <w:semiHidden/>
    <w:unhideWhenUsed/>
    <w:qFormat/>
    <w:uiPriority w:val="9"/>
    <w:pPr>
      <w:keepNext/>
      <w:keepLines/>
      <w:spacing w:before="200" w:after="40" w:line="240" w:lineRule="atLeast"/>
      <w:outlineLvl w:val="5"/>
    </w:pPr>
    <w:rPr>
      <w:rFonts w:ascii="Times New Roman" w:hAnsiTheme="minorHAnsi" w:eastAsiaTheme="minorHAnsi" w:cstheme="minorBidi"/>
      <w:b/>
      <w:sz w:val="20"/>
      <w:szCs w:val="20"/>
      <w:lang w:val="en-US" w:eastAsia="en-US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itle"/>
    <w:basedOn w:val="1"/>
    <w:next w:val="1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styleId="11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892</Words>
  <Characters>1305</Characters>
  <TotalTime>10</TotalTime>
  <ScaleCrop>false</ScaleCrop>
  <LinksUpToDate>false</LinksUpToDate>
  <CharactersWithSpaces>1371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2026-08-19T09:40:00Z</dcterms:created>
  <dc:creator>html-to-docx</dc:creator>
  <cp:keywords>html-to-docx</cp:keywords>
  <cp:lastModifiedBy>陈紫寒</cp:lastModifiedBy>
  <dcterms:modified xsi:type="dcterms:W3CDTF">2026-08-25T02:36:38Z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eyJoZGlkIjoiZGE1YTM1MjZkODUxNDYxODQ0OGNhYmU0MzUzYzJiNzkiLCJ1c2VySWQiOiIxNzY2MDk4ODgyIn0=</vt:lpwstr>
  </property>
  <property fmtid="{D5CDD505-2E9C-101B-9397-08002B2CF9AE}" pid="3" name="KSOProductBuildVer">
    <vt:lpwstr>2052-12.1.0.28043</vt:lpwstr>
  </property>
  <property fmtid="{D5CDD505-2E9C-101B-9397-08002B2CF9AE}" pid="4" name="ICV">
    <vt:lpwstr>FFBC2966F0494C78B202AECF71296846_13</vt:lpwstr>
  </property>
</Properties>
</file>